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eastAsia="zh-CN"/>
        </w:rPr>
        <w:t>龙岩市重点产业链子基金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</w:rPr>
        <w:t>管理机构</w:t>
      </w:r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b/>
          <w:sz w:val="28"/>
          <w:szCs w:val="2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</w:rPr>
        <w:t>资质合规自评表</w:t>
      </w:r>
    </w:p>
    <w:p>
      <w:pPr>
        <w:spacing w:line="560" w:lineRule="exact"/>
        <w:jc w:val="left"/>
        <w:rPr>
          <w:rFonts w:hint="eastAsia" w:ascii="仿宋_GB2312" w:hAnsi="仿宋_GB2312" w:eastAsia="仿宋_GB2312" w:cs="仿宋_GB2312"/>
          <w:b/>
          <w:sz w:val="28"/>
          <w:szCs w:val="24"/>
          <w:highlight w:val="none"/>
        </w:rPr>
      </w:pPr>
    </w:p>
    <w:p>
      <w:pPr>
        <w:spacing w:line="560" w:lineRule="exact"/>
        <w:jc w:val="left"/>
        <w:rPr>
          <w:rFonts w:ascii="黑体" w:hAnsi="黑体" w:eastAsia="黑体" w:cs="黑体"/>
          <w:sz w:val="32"/>
          <w:szCs w:val="40"/>
          <w:highlight w:val="none"/>
        </w:rPr>
      </w:pPr>
      <w:r>
        <w:rPr>
          <w:rFonts w:hint="eastAsia" w:ascii="仿宋_GB2312" w:hAnsi="仿宋_GB2312" w:eastAsia="仿宋_GB2312" w:cs="仿宋_GB2312"/>
          <w:b/>
          <w:sz w:val="28"/>
          <w:szCs w:val="24"/>
          <w:highlight w:val="none"/>
        </w:rPr>
        <w:t>拟申报机构名称：</w:t>
      </w:r>
    </w:p>
    <w:p>
      <w:pPr>
        <w:numPr>
          <w:ilvl w:val="0"/>
          <w:numId w:val="1"/>
        </w:numPr>
        <w:spacing w:line="560" w:lineRule="exact"/>
        <w:ind w:firstLine="640" w:firstLineChars="200"/>
        <w:outlineLvl w:val="0"/>
        <w:rPr>
          <w:rFonts w:ascii="黑体" w:hAnsi="黑体" w:eastAsia="黑体" w:cs="黑体"/>
          <w:sz w:val="32"/>
          <w:szCs w:val="40"/>
          <w:highlight w:val="none"/>
        </w:rPr>
      </w:pPr>
      <w:r>
        <w:rPr>
          <w:rFonts w:hint="eastAsia" w:ascii="黑体" w:hAnsi="黑体" w:eastAsia="黑体" w:cs="黑体"/>
          <w:sz w:val="32"/>
          <w:szCs w:val="40"/>
          <w:highlight w:val="none"/>
        </w:rPr>
        <w:t>申报机构要求</w:t>
      </w:r>
    </w:p>
    <w:tbl>
      <w:tblPr>
        <w:tblStyle w:val="15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7"/>
        <w:gridCol w:w="4375"/>
        <w:gridCol w:w="1761"/>
        <w:gridCol w:w="17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tblHeader/>
          <w:jc w:val="center"/>
        </w:trPr>
        <w:tc>
          <w:tcPr>
            <w:tcW w:w="3036" w:type="pct"/>
            <w:gridSpan w:val="2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sz w:val="22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  <w:szCs w:val="24"/>
                <w:highlight w:val="none"/>
              </w:rPr>
              <w:t>项目</w:t>
            </w:r>
          </w:p>
        </w:tc>
        <w:tc>
          <w:tcPr>
            <w:tcW w:w="972" w:type="pct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2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2"/>
                <w:szCs w:val="24"/>
                <w:highlight w:val="none"/>
              </w:rPr>
              <w:t>是否符合</w:t>
            </w:r>
          </w:p>
        </w:tc>
        <w:tc>
          <w:tcPr>
            <w:tcW w:w="990" w:type="pct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2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2"/>
                <w:szCs w:val="24"/>
                <w:highlight w:val="none"/>
              </w:rPr>
              <w:t>情况说明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" w:hRule="atLeast"/>
          <w:jc w:val="center"/>
        </w:trPr>
        <w:tc>
          <w:tcPr>
            <w:tcW w:w="622" w:type="pct"/>
            <w:vMerge w:val="restart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管理机构基本资质</w:t>
            </w:r>
          </w:p>
        </w:tc>
        <w:tc>
          <w:tcPr>
            <w:tcW w:w="2414" w:type="pct"/>
            <w:shd w:val="clear" w:color="auto" w:fill="auto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1.依法设立的公司或合伙企业，实收资本不低于1000万元人民币，在中国证券投资基金业协会登记为私募股权、创业投资基金管理人。</w:t>
            </w:r>
          </w:p>
        </w:tc>
        <w:tc>
          <w:tcPr>
            <w:tcW w:w="972" w:type="pct"/>
            <w:shd w:val="clear" w:color="auto" w:fill="auto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990" w:type="pct"/>
            <w:shd w:val="clear" w:color="auto" w:fill="auto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" w:hRule="atLeast"/>
          <w:jc w:val="center"/>
        </w:trPr>
        <w:tc>
          <w:tcPr>
            <w:tcW w:w="622" w:type="pct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414" w:type="pct"/>
            <w:shd w:val="clear" w:color="auto" w:fill="auto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2.至少有3名具备3年以上资产管理工作经验的高级管理人员。</w:t>
            </w:r>
          </w:p>
        </w:tc>
        <w:tc>
          <w:tcPr>
            <w:tcW w:w="972" w:type="pct"/>
            <w:shd w:val="clear" w:color="auto" w:fill="auto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990" w:type="pct"/>
            <w:shd w:val="clear" w:color="auto" w:fill="auto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" w:hRule="atLeast"/>
          <w:jc w:val="center"/>
        </w:trPr>
        <w:tc>
          <w:tcPr>
            <w:tcW w:w="622" w:type="pct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414" w:type="pct"/>
            <w:shd w:val="clear" w:color="auto" w:fill="auto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3.子基金管理机构及其董事、监事、高级管理人员及其他从业人员在最近三年无重大违法违规行为。</w:t>
            </w:r>
          </w:p>
        </w:tc>
        <w:tc>
          <w:tcPr>
            <w:tcW w:w="972" w:type="pct"/>
            <w:shd w:val="clear" w:color="auto" w:fill="auto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990" w:type="pct"/>
            <w:shd w:val="clear" w:color="auto" w:fill="auto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" w:hRule="atLeast"/>
          <w:jc w:val="center"/>
        </w:trPr>
        <w:tc>
          <w:tcPr>
            <w:tcW w:w="622" w:type="pct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414" w:type="pct"/>
            <w:shd w:val="clear" w:color="auto" w:fill="auto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4.有符合要求的营业场所、安全防范设施和与基金管理业务有关的其他设施。</w:t>
            </w:r>
          </w:p>
        </w:tc>
        <w:tc>
          <w:tcPr>
            <w:tcW w:w="972" w:type="pct"/>
            <w:shd w:val="clear" w:color="auto" w:fill="auto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990" w:type="pct"/>
            <w:shd w:val="clear" w:color="auto" w:fill="auto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" w:hRule="atLeast"/>
          <w:jc w:val="center"/>
        </w:trPr>
        <w:tc>
          <w:tcPr>
            <w:tcW w:w="622" w:type="pct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414" w:type="pct"/>
            <w:shd w:val="clear" w:color="auto" w:fill="auto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5.有良好的内部治理结构和风险控制制度。</w:t>
            </w:r>
          </w:p>
        </w:tc>
        <w:tc>
          <w:tcPr>
            <w:tcW w:w="972" w:type="pct"/>
            <w:shd w:val="clear" w:color="auto" w:fill="auto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990" w:type="pct"/>
            <w:shd w:val="clear" w:color="auto" w:fill="auto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" w:hRule="atLeast"/>
          <w:jc w:val="center"/>
        </w:trPr>
        <w:tc>
          <w:tcPr>
            <w:tcW w:w="622" w:type="pct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414" w:type="pct"/>
            <w:shd w:val="clear" w:color="auto" w:fill="auto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6.法律法规规定的其他条件和基金发起人认为应当具备的其他条件。</w:t>
            </w:r>
          </w:p>
        </w:tc>
        <w:tc>
          <w:tcPr>
            <w:tcW w:w="972" w:type="pct"/>
            <w:shd w:val="clear" w:color="auto" w:fill="auto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990" w:type="pct"/>
            <w:shd w:val="clear" w:color="auto" w:fill="auto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" w:hRule="atLeast"/>
          <w:jc w:val="center"/>
        </w:trPr>
        <w:tc>
          <w:tcPr>
            <w:tcW w:w="622" w:type="pct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管理机构出资情况</w:t>
            </w:r>
          </w:p>
        </w:tc>
        <w:tc>
          <w:tcPr>
            <w:tcW w:w="2414" w:type="pct"/>
            <w:shd w:val="clear" w:color="auto" w:fill="auto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szCs w:val="21"/>
                <w:highlight w:val="none"/>
              </w:rPr>
              <w:t>子基金管理机构及其关联方出资比例不低于子基金认缴规模的</w:t>
            </w:r>
            <w:r>
              <w:rPr>
                <w:rFonts w:hint="default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default" w:ascii="仿宋_GB2312" w:hAnsi="仿宋_GB2312" w:eastAsia="仿宋_GB2312" w:cs="仿宋_GB2312"/>
                <w:szCs w:val="21"/>
                <w:highlight w:val="none"/>
              </w:rPr>
              <w:t>%。</w:t>
            </w:r>
          </w:p>
        </w:tc>
        <w:tc>
          <w:tcPr>
            <w:tcW w:w="972" w:type="pct"/>
            <w:shd w:val="clear" w:color="auto" w:fill="auto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990" w:type="pct"/>
            <w:shd w:val="clear" w:color="auto" w:fill="auto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3" w:hRule="atLeast"/>
          <w:jc w:val="center"/>
        </w:trPr>
        <w:tc>
          <w:tcPr>
            <w:tcW w:w="622" w:type="pct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管理机构募资能力</w:t>
            </w:r>
          </w:p>
        </w:tc>
        <w:tc>
          <w:tcPr>
            <w:tcW w:w="2414" w:type="pct"/>
            <w:shd w:val="clear" w:color="auto" w:fill="auto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highlight w:val="none"/>
              </w:rPr>
              <w:t>子基金管理机构应提交募资能力证明材料。在提交子基金申报方案时，需至少已经募集到拟设立子基金首期认缴规模的</w:t>
            </w: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>3</w:t>
            </w:r>
            <w:r>
              <w:rPr>
                <w:rFonts w:hint="default" w:ascii="仿宋_GB2312" w:hAnsi="仿宋_GB2312" w:eastAsia="仿宋_GB2312" w:cs="仿宋_GB2312"/>
                <w:highlight w:val="none"/>
              </w:rPr>
              <w:t>0%资金（</w:t>
            </w:r>
            <w:r>
              <w:rPr>
                <w:rFonts w:hint="eastAsia" w:ascii="仿宋_GB2312" w:hAnsi="仿宋_GB2312" w:eastAsia="仿宋_GB2312" w:cs="仿宋_GB2312"/>
                <w:highlight w:val="none"/>
                <w:lang w:eastAsia="zh-CN"/>
              </w:rPr>
              <w:t>含子基金管理机构及其关联方出资部分，</w:t>
            </w:r>
            <w:r>
              <w:rPr>
                <w:rFonts w:hint="default" w:ascii="仿宋_GB2312" w:hAnsi="仿宋_GB2312" w:eastAsia="仿宋_GB2312" w:cs="仿宋_GB2312"/>
                <w:highlight w:val="none"/>
              </w:rPr>
              <w:t>不含</w:t>
            </w:r>
            <w:r>
              <w:rPr>
                <w:rFonts w:hint="eastAsia" w:ascii="仿宋_GB2312" w:hAnsi="仿宋_GB2312" w:eastAsia="仿宋_GB2312" w:cs="仿宋_GB2312"/>
                <w:highlight w:val="none"/>
                <w:lang w:eastAsia="zh-CN"/>
              </w:rPr>
              <w:t>龙岩市产业</w:t>
            </w:r>
            <w:r>
              <w:rPr>
                <w:rFonts w:hint="default" w:ascii="仿宋_GB2312" w:hAnsi="仿宋_GB2312" w:eastAsia="仿宋_GB2312" w:cs="仿宋_GB2312"/>
                <w:highlight w:val="none"/>
              </w:rPr>
              <w:t>基金出资部分），并提供不少于前述规模的出资</w:t>
            </w:r>
            <w:r>
              <w:rPr>
                <w:rFonts w:hint="eastAsia" w:ascii="仿宋_GB2312" w:hAnsi="仿宋_GB2312" w:eastAsia="仿宋_GB2312" w:cs="仿宋_GB2312"/>
                <w:highlight w:val="none"/>
                <w:lang w:eastAsia="zh-CN"/>
              </w:rPr>
              <w:t>意向</w:t>
            </w:r>
            <w:r>
              <w:rPr>
                <w:rFonts w:hint="default" w:ascii="仿宋_GB2312" w:hAnsi="仿宋_GB2312" w:eastAsia="仿宋_GB2312" w:cs="仿宋_GB2312"/>
                <w:highlight w:val="none"/>
              </w:rPr>
              <w:t>函</w:t>
            </w:r>
            <w:bookmarkStart w:id="1" w:name="_GoBack"/>
            <w:r>
              <w:rPr>
                <w:rFonts w:hint="eastAsia" w:ascii="仿宋_GB2312" w:hAnsi="仿宋_GB2312" w:eastAsia="仿宋_GB2312" w:cs="仿宋_GB2312"/>
                <w:b/>
                <w:bCs/>
                <w:highlight w:val="none"/>
                <w:lang w:eastAsia="zh-CN"/>
              </w:rPr>
              <w:t>（需加盖公章及法定代表人签章）</w:t>
            </w:r>
            <w:bookmarkEnd w:id="1"/>
          </w:p>
        </w:tc>
        <w:tc>
          <w:tcPr>
            <w:tcW w:w="972" w:type="pct"/>
            <w:shd w:val="clear" w:color="auto" w:fill="auto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990" w:type="pct"/>
            <w:shd w:val="clear" w:color="auto" w:fill="auto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rPr>
          <w:rFonts w:hint="eastAsia" w:ascii="仿宋_GB2312" w:hAnsi="仿宋_GB2312" w:eastAsia="仿宋_GB2312" w:cs="仿宋_GB2312"/>
          <w:b/>
          <w:highlight w:val="none"/>
        </w:rPr>
      </w:pPr>
      <w:r>
        <w:rPr>
          <w:rFonts w:hint="eastAsia" w:ascii="仿宋_GB2312" w:hAnsi="仿宋_GB2312" w:eastAsia="仿宋_GB2312" w:cs="仿宋_GB2312"/>
          <w:b/>
          <w:highlight w:val="none"/>
        </w:rPr>
        <w:t>注：申报机构应开展合规性自评，并在是否符合一栏填写“√”或“х”，需要进一步说明的事项请填写在情况说明栏内。</w:t>
      </w:r>
    </w:p>
    <w:p>
      <w:pPr>
        <w:pStyle w:val="2"/>
      </w:pPr>
    </w:p>
    <w:p>
      <w:pPr>
        <w:numPr>
          <w:ilvl w:val="0"/>
          <w:numId w:val="1"/>
        </w:numPr>
        <w:spacing w:line="560" w:lineRule="exact"/>
        <w:ind w:firstLine="640" w:firstLineChars="200"/>
        <w:outlineLvl w:val="0"/>
        <w:rPr>
          <w:rFonts w:ascii="黑体" w:hAnsi="黑体" w:eastAsia="黑体" w:cs="黑体"/>
          <w:sz w:val="32"/>
          <w:szCs w:val="40"/>
          <w:highlight w:val="none"/>
        </w:rPr>
      </w:pPr>
      <w:bookmarkStart w:id="0" w:name="OLE_LINK1"/>
      <w:r>
        <w:rPr>
          <w:rFonts w:hint="eastAsia" w:ascii="黑体" w:hAnsi="黑体" w:eastAsia="黑体" w:cs="黑体"/>
          <w:sz w:val="32"/>
          <w:szCs w:val="40"/>
          <w:highlight w:val="none"/>
        </w:rPr>
        <w:t>子基金设立要求</w:t>
      </w:r>
      <w:bookmarkEnd w:id="0"/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tblHeader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sz w:val="22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  <w:szCs w:val="24"/>
                <w:highlight w:val="none"/>
              </w:rPr>
              <w:t>基金要素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1.子基金认缴规模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eastAsia="zh-CN"/>
              </w:rPr>
              <w:t>不超过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2亿元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2.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eastAsia="zh-CN"/>
              </w:rPr>
              <w:t>龙岩市产业基金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对子基金出资不超过子基金认缴规模的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0%。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3.子基金注册地应为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eastAsia="zh-CN"/>
              </w:rPr>
              <w:t>龙岩市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4.子基金投资于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eastAsia="zh-CN"/>
              </w:rPr>
              <w:t>龙岩市的资金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不低于龙岩市产业基金出资额的1倍，且不低于龙岩市各级政府全部出资额的1倍。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.子基金接受绩效评价，结果与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eastAsia="zh-CN"/>
              </w:rPr>
              <w:t>龙岩市产业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基金出资份额对应的管理费（含执行事务合伙人费用等）、后续出资挂钩。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spacing w:line="360" w:lineRule="exact"/>
              <w:rPr>
                <w:rFonts w:hint="default" w:ascii="仿宋_GB2312" w:hAnsi="仿宋_GB2312" w:eastAsia="仿宋_GB2312" w:cs="仿宋_GB231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6.申报方案及相关条款需符合《福建省省级政府投资基金管理办法》《福建省省级政府投资基金绩效评价办法》要求</w:t>
            </w:r>
          </w:p>
        </w:tc>
      </w:tr>
    </w:tbl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  <w:highlight w:val="none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40"/>
          <w:highlight w:val="none"/>
        </w:rPr>
        <w:t>我公司承诺上述内容真实、准确。我公司将按照上述子基金设立要求设计子基金方案及签署后续协议，子基金具体方案以正式提交的申报材料为准。</w:t>
      </w:r>
    </w:p>
    <w:p>
      <w:pPr>
        <w:spacing w:line="560" w:lineRule="exact"/>
        <w:rPr>
          <w:b/>
          <w:highlight w:val="none"/>
        </w:rPr>
      </w:pPr>
    </w:p>
    <w:p>
      <w:pPr>
        <w:pStyle w:val="4"/>
        <w:rPr>
          <w:highlight w:val="none"/>
        </w:rPr>
      </w:pPr>
    </w:p>
    <w:p>
      <w:pPr>
        <w:spacing w:line="560" w:lineRule="exact"/>
        <w:rPr>
          <w:rFonts w:ascii="仿宋_GB2312" w:eastAsia="仿宋_GB2312"/>
          <w:bCs/>
          <w:sz w:val="32"/>
          <w:szCs w:val="32"/>
          <w:highlight w:val="none"/>
        </w:rPr>
      </w:pPr>
      <w:r>
        <w:rPr>
          <w:rFonts w:hint="eastAsia"/>
          <w:b/>
          <w:highlight w:val="none"/>
        </w:rPr>
        <w:t xml:space="preserve">                                 </w:t>
      </w:r>
      <w:r>
        <w:rPr>
          <w:rFonts w:hint="eastAsia" w:ascii="仿宋_GB2312" w:eastAsia="仿宋_GB2312"/>
          <w:b/>
          <w:sz w:val="32"/>
          <w:szCs w:val="32"/>
          <w:highlight w:val="none"/>
        </w:rPr>
        <w:t xml:space="preserve">       </w:t>
      </w:r>
      <w:r>
        <w:rPr>
          <w:rFonts w:hint="eastAsia" w:ascii="仿宋_GB2312" w:eastAsia="仿宋_GB2312"/>
          <w:bCs/>
          <w:sz w:val="32"/>
          <w:szCs w:val="32"/>
          <w:highlight w:val="none"/>
        </w:rPr>
        <w:t xml:space="preserve"> 申报机构（公章）：</w:t>
      </w:r>
    </w:p>
    <w:p>
      <w:pPr>
        <w:topLinePunct/>
        <w:spacing w:line="600" w:lineRule="exact"/>
        <w:jc w:val="right"/>
        <w:rPr>
          <w:rFonts w:ascii="仿宋_GB2312" w:eastAsia="仿宋_GB2312"/>
          <w:bCs/>
          <w:sz w:val="32"/>
          <w:szCs w:val="32"/>
          <w:highlight w:val="none"/>
        </w:rPr>
      </w:pPr>
      <w:r>
        <w:rPr>
          <w:rFonts w:hint="eastAsia" w:ascii="仿宋_GB2312" w:eastAsia="仿宋_GB2312"/>
          <w:bCs/>
          <w:sz w:val="32"/>
          <w:szCs w:val="32"/>
          <w:highlight w:val="none"/>
        </w:rPr>
        <w:t xml:space="preserve">   日期：    年   月   日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0" w:firstLineChars="0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ordWrap/>
        <w:topLinePunct w:val="0"/>
        <w:bidi w:val="0"/>
        <w:spacing w:line="560" w:lineRule="exact"/>
        <w:rPr>
          <w:rFonts w:hint="default"/>
          <w:lang w:val="en-US" w:eastAsia="zh-CN"/>
        </w:rPr>
      </w:pPr>
    </w:p>
    <w:p>
      <w:pPr>
        <w:pStyle w:val="12"/>
        <w:keepNext w:val="0"/>
        <w:keepLines w:val="0"/>
        <w:widowControl/>
        <w:suppressLineNumbers w:val="0"/>
        <w:spacing w:beforeAutospacing="0" w:afterAutospacing="0" w:line="600" w:lineRule="exact"/>
        <w:jc w:val="both"/>
        <w:rPr>
          <w:rFonts w:hint="eastAsia" w:asciiTheme="minorEastAsia" w:hAnsiTheme="minorEastAsia" w:eastAsiaTheme="minorEastAsia" w:cstheme="minorEastAsia"/>
          <w:bCs/>
          <w:sz w:val="24"/>
          <w:szCs w:val="24"/>
          <w:highlight w:val="none"/>
          <w:lang w:val="en-US" w:eastAsia="zh-CN"/>
        </w:rPr>
      </w:pPr>
    </w:p>
    <w:p>
      <w:pPr>
        <w:pStyle w:val="12"/>
        <w:keepNext w:val="0"/>
        <w:keepLines w:val="0"/>
        <w:widowControl/>
        <w:suppressLineNumbers w:val="0"/>
        <w:spacing w:beforeAutospacing="0" w:afterAutospacing="0" w:line="600" w:lineRule="exact"/>
        <w:jc w:val="both"/>
        <w:rPr>
          <w:rFonts w:hint="eastAsia" w:asciiTheme="minorEastAsia" w:hAnsiTheme="minorEastAsia" w:eastAsiaTheme="minorEastAsia" w:cstheme="minorEastAsia"/>
          <w:bCs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ordWrap/>
        <w:topLinePunct w:val="0"/>
        <w:bidi w:val="0"/>
        <w:spacing w:line="560" w:lineRule="exact"/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9" name="文本框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- 19 -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9bQWsyAgAAYwQAAA4AAABkcnMvZTJvRG9jLnhtbK1UzY7TMBC+I/EO&#10;lu80aRGrUj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SYphGxU8/vp9+&#10;Ppx+fSM4g0CNCzPE3TtExvadbRE8nAccJt5t5XX6ghGBH/IeL/KKNhKeLk0n02kOF4dv2AA/e7zu&#10;fIjvhdUkGQX1qF8nKztsQuxDh5CUzdi1VKqroTKkKejV6z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/1tBaz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- 19 -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29DDBC"/>
    <w:multiLevelType w:val="singleLevel"/>
    <w:tmpl w:val="4B29DDB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yNjgzOTExNDg4YWIxMjJjOWIzOTBiMWY1ZTZkMGUifQ=="/>
  </w:docVars>
  <w:rsids>
    <w:rsidRoot w:val="00000000"/>
    <w:rsid w:val="05A618F2"/>
    <w:rsid w:val="0C6C4BEE"/>
    <w:rsid w:val="114752B6"/>
    <w:rsid w:val="137F28E7"/>
    <w:rsid w:val="1398625D"/>
    <w:rsid w:val="190732B2"/>
    <w:rsid w:val="1AC75EFD"/>
    <w:rsid w:val="217C0A13"/>
    <w:rsid w:val="22937748"/>
    <w:rsid w:val="295704EA"/>
    <w:rsid w:val="350A3B67"/>
    <w:rsid w:val="35F75C4F"/>
    <w:rsid w:val="35FE199D"/>
    <w:rsid w:val="3A8F78AE"/>
    <w:rsid w:val="3B8A62BD"/>
    <w:rsid w:val="3BA8708C"/>
    <w:rsid w:val="3BD10EFB"/>
    <w:rsid w:val="3E1052D5"/>
    <w:rsid w:val="4EF212E4"/>
    <w:rsid w:val="50D4504A"/>
    <w:rsid w:val="525605BF"/>
    <w:rsid w:val="58030D3E"/>
    <w:rsid w:val="5A3902CB"/>
    <w:rsid w:val="5D7F5AF4"/>
    <w:rsid w:val="5ECD59BD"/>
    <w:rsid w:val="5F43099D"/>
    <w:rsid w:val="60A86096"/>
    <w:rsid w:val="616E24E6"/>
    <w:rsid w:val="675E5725"/>
    <w:rsid w:val="6B2366E5"/>
    <w:rsid w:val="6D172DCB"/>
    <w:rsid w:val="6DB77BCC"/>
    <w:rsid w:val="709612A4"/>
    <w:rsid w:val="769C6491"/>
    <w:rsid w:val="773A513A"/>
    <w:rsid w:val="7AEA5A84"/>
    <w:rsid w:val="7C553401"/>
    <w:rsid w:val="7CBA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outlineLvl w:val="1"/>
    </w:pPr>
    <w:rPr>
      <w:rFonts w:eastAsia="楷体_GB2312" w:asciiTheme="majorHAnsi" w:hAnsiTheme="majorHAnsi" w:cstheme="majorBidi"/>
      <w:bCs/>
      <w:szCs w:val="32"/>
    </w:rPr>
  </w:style>
  <w:style w:type="character" w:default="1" w:styleId="16">
    <w:name w:val="Default Paragraph Font"/>
    <w:qFormat/>
    <w:uiPriority w:val="0"/>
  </w:style>
  <w:style w:type="table" w:default="1" w:styleId="1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paragraph" w:styleId="4">
    <w:name w:val="Normal Indent"/>
    <w:basedOn w:val="1"/>
    <w:next w:val="5"/>
    <w:qFormat/>
    <w:uiPriority w:val="0"/>
    <w:pPr>
      <w:widowControl w:val="0"/>
      <w:ind w:firstLine="420" w:firstLineChars="200"/>
      <w:jc w:val="both"/>
    </w:pPr>
    <w:rPr>
      <w:rFonts w:ascii="Calibri" w:hAnsi="Calibri" w:eastAsia="仿宋_GB2312" w:cs="Times New Roman"/>
      <w:sz w:val="32"/>
    </w:rPr>
  </w:style>
  <w:style w:type="paragraph" w:styleId="5">
    <w:name w:val="envelope return"/>
    <w:qFormat/>
    <w:uiPriority w:val="0"/>
    <w:pPr>
      <w:widowControl w:val="0"/>
      <w:snapToGrid w:val="0"/>
      <w:jc w:val="both"/>
    </w:pPr>
    <w:rPr>
      <w:rFonts w:ascii="Arial" w:hAnsi="Arial" w:eastAsia="仿宋_GB2312" w:cs="Times New Roman"/>
      <w:kern w:val="2"/>
      <w:sz w:val="32"/>
      <w:szCs w:val="32"/>
      <w:lang w:val="en-US" w:eastAsia="zh-CN" w:bidi="ar-SA"/>
    </w:rPr>
  </w:style>
  <w:style w:type="paragraph" w:styleId="6">
    <w:name w:val="Body Text"/>
    <w:basedOn w:val="1"/>
    <w:qFormat/>
    <w:uiPriority w:val="0"/>
    <w:pPr>
      <w:jc w:val="left"/>
    </w:pPr>
    <w:rPr>
      <w:rFonts w:ascii="Arial" w:hAnsi="Arial" w:eastAsia="宋体" w:cs="Arial"/>
      <w:szCs w:val="24"/>
    </w:rPr>
  </w:style>
  <w:style w:type="paragraph" w:styleId="7">
    <w:name w:val="Body Text Indent"/>
    <w:basedOn w:val="1"/>
    <w:next w:val="4"/>
    <w:qFormat/>
    <w:uiPriority w:val="0"/>
    <w:pPr>
      <w:ind w:firstLine="420"/>
    </w:pPr>
    <w:rPr>
      <w:rFonts w:ascii="Calibri" w:hAnsi="Calibri" w:eastAsia="宋体" w:cs="Times New Roman"/>
      <w:szCs w:val="20"/>
    </w:rPr>
  </w:style>
  <w:style w:type="paragraph" w:styleId="8">
    <w:name w:val="Balloon Text"/>
    <w:basedOn w:val="1"/>
    <w:next w:val="1"/>
    <w:qFormat/>
    <w:uiPriority w:val="0"/>
    <w:rPr>
      <w:rFonts w:ascii="Calibri" w:hAnsi="Calibri" w:eastAsia="宋体" w:cs="Times New Roman"/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Subtitle"/>
    <w:basedOn w:val="1"/>
    <w:next w:val="1"/>
    <w:qFormat/>
    <w:uiPriority w:val="0"/>
    <w:pPr>
      <w:ind w:firstLine="0" w:firstLineChars="0"/>
      <w:jc w:val="left"/>
      <w:outlineLvl w:val="1"/>
    </w:pPr>
    <w:rPr>
      <w:rFonts w:cstheme="minorBidi"/>
      <w:b/>
      <w:bCs/>
      <w:kern w:val="28"/>
      <w:sz w:val="24"/>
      <w:szCs w:val="32"/>
    </w:rPr>
  </w:style>
  <w:style w:type="paragraph" w:styleId="1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3">
    <w:name w:val="Body Text First Indent"/>
    <w:basedOn w:val="6"/>
    <w:qFormat/>
    <w:uiPriority w:val="0"/>
    <w:pPr>
      <w:ind w:firstLine="800" w:firstLineChars="200"/>
    </w:pPr>
    <w:rPr>
      <w:rFonts w:ascii="Calibri" w:hAnsi="Calibri" w:eastAsia="宋体" w:cs="Times New Roman"/>
    </w:rPr>
  </w:style>
  <w:style w:type="paragraph" w:styleId="14">
    <w:name w:val="Body Text First Indent 2"/>
    <w:basedOn w:val="7"/>
    <w:next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character" w:styleId="17">
    <w:name w:val="Strong"/>
    <w:basedOn w:val="16"/>
    <w:qFormat/>
    <w:uiPriority w:val="0"/>
    <w:rPr>
      <w:b/>
    </w:rPr>
  </w:style>
  <w:style w:type="paragraph" w:customStyle="1" w:styleId="18">
    <w:name w:val="Normal_aa5dbc45-9b7d-4fbb-b6ce-ad2e81839f0f"/>
    <w:qFormat/>
    <w:uiPriority w:val="0"/>
    <w:pPr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paragraph" w:customStyle="1" w:styleId="19">
    <w:name w:val="Normal"/>
    <w:qFormat/>
    <w:uiPriority w:val="0"/>
    <w:pPr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table" w:customStyle="1" w:styleId="20">
    <w:name w:val="网格型2"/>
    <w:basedOn w:val="15"/>
    <w:unhideWhenUsed/>
    <w:qFormat/>
    <w:uiPriority w:val="99"/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">
    <w:name w:val="网格型1"/>
    <w:basedOn w:val="15"/>
    <w:qFormat/>
    <w:uiPriority w:val="3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791</Words>
  <Characters>814</Characters>
  <Paragraphs>32</Paragraphs>
  <TotalTime>4</TotalTime>
  <ScaleCrop>false</ScaleCrop>
  <LinksUpToDate>false</LinksUpToDate>
  <CharactersWithSpaces>868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2025-12-15T14:09:00Z</dcterms:created>
  <dc:creator>Administrator</dc:creator>
  <cp:lastModifiedBy>lyf</cp:lastModifiedBy>
  <cp:lastPrinted>2025-12-30T09:06:00Z</cp:lastPrinted>
  <dcterms:modified xsi:type="dcterms:W3CDTF">2026-03-02T08:56:55Z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KSOTemplateDocerSaveRecord">
    <vt:lpwstr>eyJoZGlkIjoiZGY4MzVhZThlYmVkYzI1ZDQxMmI2MDU4MDJmYjMyNTIiLCJ1c2VySWQiOiI0MzUxOTAwMzkifQ==</vt:lpwstr>
  </property>
  <property fmtid="{D5CDD505-2E9C-101B-9397-08002B2CF9AE}" pid="4" name="ICV">
    <vt:lpwstr>D069F26FB9F245EB965B64AD8376A447_13</vt:lpwstr>
  </property>
</Properties>
</file>